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F9" w:rsidRDefault="00297D86">
      <w:pPr>
        <w:pStyle w:val="a9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по моделированию швейных изделий</w:t>
      </w:r>
    </w:p>
    <w:p w:rsidR="00F13EF9" w:rsidRDefault="00297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7-8 класс</w:t>
      </w:r>
    </w:p>
    <w:p w:rsidR="00F13EF9" w:rsidRDefault="00F13EF9">
      <w:pPr>
        <w:jc w:val="center"/>
      </w:pPr>
    </w:p>
    <w:p w:rsidR="00F13EF9" w:rsidRDefault="00297D86">
      <w:pPr>
        <w:ind w:firstLine="709"/>
        <w:jc w:val="both"/>
      </w:pPr>
      <w:r>
        <w:t xml:space="preserve">1. 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</w:t>
      </w:r>
      <w:r>
        <w:t>края деталей.</w:t>
      </w:r>
    </w:p>
    <w:p w:rsidR="00F13EF9" w:rsidRDefault="00297D86">
      <w:pPr>
        <w:ind w:firstLine="709"/>
        <w:jc w:val="both"/>
      </w:pPr>
      <w:r>
        <w:t>2. В соответствии с эскизом и описанием модели нанесите новые фасонные линии на базовый чертеж основы юбки, соблюдая пропорции. Обозначьте ваши действия по моделированию на чертеже основы юбки. Используйте для этого слова, значки, стрелки, сп</w:t>
      </w:r>
      <w:r>
        <w:t xml:space="preserve">исок и т. п. </w:t>
      </w:r>
    </w:p>
    <w:p w:rsidR="00F13EF9" w:rsidRDefault="00297D86">
      <w:pPr>
        <w:ind w:firstLine="709"/>
        <w:jc w:val="both"/>
      </w:pPr>
      <w:r>
        <w:t xml:space="preserve">3. Перенесите линии фасона на цветной лист с изображением базового чертежа основы юбки.  </w:t>
      </w:r>
    </w:p>
    <w:p w:rsidR="00F13EF9" w:rsidRDefault="00297D86">
      <w:pPr>
        <w:ind w:firstLine="709"/>
        <w:jc w:val="both"/>
      </w:pPr>
      <w:r>
        <w:t xml:space="preserve">4. Аккуратно вырежьте детали выкроек из цветной бумаги для раскладки, используя базовой чертеж. </w:t>
      </w:r>
    </w:p>
    <w:p w:rsidR="00F13EF9" w:rsidRDefault="00297D86">
      <w:pPr>
        <w:ind w:firstLine="709"/>
        <w:jc w:val="both"/>
      </w:pPr>
      <w:r>
        <w:t>5. Аккуратно наклейте выкройки всех деталей на листе «Р</w:t>
      </w:r>
      <w:r>
        <w:t xml:space="preserve">езультат моделирования» </w:t>
      </w:r>
    </w:p>
    <w:p w:rsidR="00F13EF9" w:rsidRDefault="00297D86">
      <w:pPr>
        <w:ind w:firstLine="709"/>
        <w:jc w:val="both"/>
      </w:pPr>
      <w:r>
        <w:t>6. Нанесите на детали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 w:rsidR="00F13EF9" w:rsidRDefault="00F13EF9">
      <w:pPr>
        <w:ind w:firstLine="709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3685"/>
      </w:tblGrid>
      <w:tr w:rsidR="00F13EF9">
        <w:tc>
          <w:tcPr>
            <w:tcW w:w="5387" w:type="dxa"/>
          </w:tcPr>
          <w:p w:rsidR="00F13EF9" w:rsidRDefault="00297D86">
            <w:pPr>
              <w:jc w:val="center"/>
            </w:pPr>
            <w:r>
              <w:t>Эскиз модели</w:t>
            </w:r>
          </w:p>
        </w:tc>
        <w:tc>
          <w:tcPr>
            <w:tcW w:w="3685" w:type="dxa"/>
          </w:tcPr>
          <w:p w:rsidR="00F13EF9" w:rsidRDefault="00297D86">
            <w:pPr>
              <w:jc w:val="center"/>
            </w:pPr>
            <w:r>
              <w:t>Описание модели</w:t>
            </w:r>
          </w:p>
        </w:tc>
      </w:tr>
      <w:tr w:rsidR="00F13EF9">
        <w:tc>
          <w:tcPr>
            <w:tcW w:w="5387" w:type="dxa"/>
          </w:tcPr>
          <w:p w:rsidR="00F13EF9" w:rsidRDefault="00297D86">
            <w:pPr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71675" cy="26289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022" cy="264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97610" cy="1597025"/>
                  <wp:effectExtent l="0" t="0" r="254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691" cy="1600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F13EF9" w:rsidRDefault="00297D86">
            <w:pPr>
              <w:ind w:firstLine="175"/>
              <w:jc w:val="both"/>
            </w:pPr>
            <w:r>
              <w:t xml:space="preserve">Женская юбка длиной чуть ниже колен. Силуэт юбки слегка расширен по боковым срезам. </w:t>
            </w:r>
          </w:p>
          <w:p w:rsidR="00F13EF9" w:rsidRDefault="00297D86">
            <w:pPr>
              <w:ind w:firstLine="175"/>
              <w:jc w:val="both"/>
            </w:pPr>
            <w:r>
              <w:t>Переднее полотнище:</w:t>
            </w:r>
          </w:p>
          <w:p w:rsidR="00F13EF9" w:rsidRDefault="00297D86">
            <w:pPr>
              <w:ind w:firstLine="175"/>
              <w:jc w:val="both"/>
            </w:pPr>
            <w:r>
              <w:t>- вытачки переведены в рельефные швы; рельефные швы отстрочены.</w:t>
            </w:r>
          </w:p>
          <w:p w:rsidR="00F13EF9" w:rsidRDefault="00297D86">
            <w:pPr>
              <w:ind w:firstLine="175"/>
              <w:jc w:val="both"/>
            </w:pPr>
            <w:r>
              <w:t>Заднее полотнище:</w:t>
            </w:r>
          </w:p>
          <w:p w:rsidR="00F13EF9" w:rsidRDefault="00297D86">
            <w:pPr>
              <w:ind w:firstLine="175"/>
              <w:jc w:val="both"/>
            </w:pPr>
            <w:r>
              <w:t xml:space="preserve">- вытачки переведены в рельефные швы; рельефные </w:t>
            </w:r>
            <w:r>
              <w:t>швы отстрочены;</w:t>
            </w:r>
          </w:p>
          <w:p w:rsidR="00F13EF9" w:rsidRDefault="00297D86">
            <w:pPr>
              <w:ind w:firstLine="175"/>
              <w:jc w:val="both"/>
            </w:pPr>
            <w:r>
              <w:t>- полотнище со средним швом.</w:t>
            </w:r>
          </w:p>
          <w:p w:rsidR="00F13EF9" w:rsidRDefault="00297D86">
            <w:pPr>
              <w:ind w:firstLine="175"/>
              <w:jc w:val="both"/>
            </w:pPr>
            <w:r>
              <w:t xml:space="preserve">Верхний срез юбки обработан притачным поясом. </w:t>
            </w:r>
          </w:p>
          <w:p w:rsidR="00F13EF9" w:rsidRDefault="00297D86">
            <w:pPr>
              <w:ind w:firstLine="175"/>
              <w:jc w:val="both"/>
            </w:pPr>
            <w:r>
              <w:t>Застежка – потайная молния, расположенная в среднем шве заднего полотнища. Верхний край застежки молнии совпадает с верхним краем пояса.</w:t>
            </w:r>
          </w:p>
          <w:p w:rsidR="00F13EF9" w:rsidRDefault="00297D86">
            <w:pPr>
              <w:ind w:firstLine="175"/>
              <w:jc w:val="both"/>
            </w:pPr>
            <w:r>
              <w:t>По бокам юбки на поясе расп</w:t>
            </w:r>
            <w:r>
              <w:t xml:space="preserve">оложены паты. Каждая пата состоит из одной детали со сгибом. Задние края пат настрочены на пояс на уровне задних рельефных швов. На передних краях пат </w:t>
            </w:r>
            <w:proofErr w:type="gramStart"/>
            <w:r>
              <w:t>расположены</w:t>
            </w:r>
            <w:proofErr w:type="gramEnd"/>
            <w:r>
              <w:t xml:space="preserve"> петля и пуговица. Петля служит для пристегивания пат к поясу на уровне передних рельефных шво</w:t>
            </w:r>
            <w:r>
              <w:t>в. Пуговица выполняет декоративную функцию.</w:t>
            </w:r>
          </w:p>
        </w:tc>
      </w:tr>
    </w:tbl>
    <w:p w:rsidR="00F13EF9" w:rsidRDefault="00297D86">
      <w:pPr>
        <w:tabs>
          <w:tab w:val="left" w:pos="16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 практического задания «Моделирование юбки» </w:t>
      </w:r>
    </w:p>
    <w:p w:rsidR="00F13EF9" w:rsidRDefault="00297D86"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Нанесение линий и необходимых надписей для моделирования чертежа основы юбки</w:t>
      </w:r>
    </w:p>
    <w:p w:rsidR="00F13EF9" w:rsidRDefault="00F13EF9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F13EF9" w:rsidRDefault="00F13EF9">
      <w:pPr>
        <w:spacing w:after="200" w:line="276" w:lineRule="auto"/>
        <w:rPr>
          <w:b/>
          <w:bCs/>
          <w:sz w:val="28"/>
          <w:szCs w:val="28"/>
        </w:rPr>
      </w:pPr>
    </w:p>
    <w:p w:rsidR="00F13EF9" w:rsidRDefault="00297D86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14875" cy="4641850"/>
            <wp:effectExtent l="0" t="0" r="0" b="6350"/>
            <wp:docPr id="7" name="Рисунок 7" descr="C:\Users\комп\Desktop\image from Практика 9 класс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комп\Desktop\image from Практика 9 класс-2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64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EF9" w:rsidRDefault="00297D86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13EF9" w:rsidRDefault="00297D86">
      <w:pPr>
        <w:tabs>
          <w:tab w:val="left" w:pos="1655"/>
        </w:tabs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Базовый чертеж основы юбки для моделирования </w:t>
      </w:r>
    </w:p>
    <w:p w:rsidR="00F13EF9" w:rsidRDefault="00297D86">
      <w:pPr>
        <w:tabs>
          <w:tab w:val="left" w:pos="1655"/>
        </w:tabs>
        <w:jc w:val="center"/>
        <w:rPr>
          <w:bCs/>
          <w:iCs/>
          <w:sz w:val="28"/>
          <w:szCs w:val="28"/>
          <w:highlight w:val="yellow"/>
        </w:rPr>
      </w:pPr>
      <w:r>
        <w:rPr>
          <w:bCs/>
          <w:iCs/>
          <w:sz w:val="28"/>
          <w:szCs w:val="28"/>
          <w:highlight w:val="yellow"/>
        </w:rPr>
        <w:t xml:space="preserve">Лист для вырезания деталей выкроек (лист </w:t>
      </w:r>
      <w:bookmarkStart w:id="0" w:name="_GoBack"/>
      <w:bookmarkEnd w:id="0"/>
      <w:r>
        <w:rPr>
          <w:bCs/>
          <w:iCs/>
          <w:sz w:val="28"/>
          <w:szCs w:val="28"/>
          <w:highlight w:val="yellow"/>
        </w:rPr>
        <w:t>цветной бумаги)</w:t>
      </w:r>
    </w:p>
    <w:p w:rsidR="00F13EF9" w:rsidRDefault="00F13EF9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F13EF9" w:rsidRDefault="00297D86">
      <w:pPr>
        <w:tabs>
          <w:tab w:val="left" w:pos="1655"/>
        </w:tabs>
        <w:jc w:val="center"/>
        <w:rPr>
          <w:bCs/>
          <w:i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14875" cy="4641850"/>
            <wp:effectExtent l="0" t="0" r="0" b="6350"/>
            <wp:docPr id="8" name="Рисунок 8" descr="C:\Users\комп\Desktop\image from Практика 9 класс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комп\Desktop\image from Практика 9 класс-2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64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EF9" w:rsidRDefault="00F13EF9">
      <w:pPr>
        <w:tabs>
          <w:tab w:val="left" w:pos="1655"/>
        </w:tabs>
        <w:jc w:val="center"/>
        <w:rPr>
          <w:i/>
          <w:sz w:val="28"/>
          <w:szCs w:val="28"/>
        </w:rPr>
      </w:pPr>
    </w:p>
    <w:p w:rsidR="00F13EF9" w:rsidRDefault="00F13EF9">
      <w:pPr>
        <w:tabs>
          <w:tab w:val="left" w:pos="6946"/>
          <w:tab w:val="left" w:pos="7230"/>
          <w:tab w:val="left" w:pos="7371"/>
        </w:tabs>
        <w:spacing w:after="200" w:line="276" w:lineRule="auto"/>
        <w:ind w:left="-1560" w:right="1700"/>
        <w:jc w:val="center"/>
        <w:rPr>
          <w:b/>
        </w:rPr>
      </w:pPr>
    </w:p>
    <w:p w:rsidR="00F13EF9" w:rsidRDefault="00297D8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3EF9" w:rsidRDefault="00297D86">
      <w:pPr>
        <w:tabs>
          <w:tab w:val="left" w:pos="1655"/>
        </w:tabs>
        <w:jc w:val="center"/>
        <w:rPr>
          <w:lang w:eastAsia="ru-RU"/>
        </w:rPr>
      </w:pPr>
      <w:r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F13EF9" w:rsidRDefault="00F13EF9">
      <w:pPr>
        <w:tabs>
          <w:tab w:val="left" w:pos="1655"/>
        </w:tabs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F13EF9">
        <w:tc>
          <w:tcPr>
            <w:tcW w:w="8755" w:type="dxa"/>
          </w:tcPr>
          <w:p w:rsidR="00F13EF9" w:rsidRDefault="00297D86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</w:t>
            </w:r>
            <w:r>
              <w:t>.</w:t>
            </w:r>
          </w:p>
          <w:p w:rsidR="00F13EF9" w:rsidRDefault="00297D86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Убедитесь, что на листе контроля всё аккуратно размещено.</w:t>
            </w:r>
          </w:p>
          <w:p w:rsidR="00F13EF9" w:rsidRDefault="00297D86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Только после этого приклеивайте готовые выкройки</w:t>
            </w:r>
          </w:p>
          <w:p w:rsidR="00F13EF9" w:rsidRDefault="00F13EF9">
            <w:pPr>
              <w:tabs>
                <w:tab w:val="left" w:pos="1655"/>
              </w:tabs>
            </w:pPr>
          </w:p>
          <w:p w:rsidR="00F13EF9" w:rsidRDefault="00F13EF9">
            <w:pPr>
              <w:tabs>
                <w:tab w:val="left" w:pos="1655"/>
              </w:tabs>
              <w:jc w:val="both"/>
            </w:pPr>
          </w:p>
        </w:tc>
        <w:tc>
          <w:tcPr>
            <w:tcW w:w="816" w:type="dxa"/>
          </w:tcPr>
          <w:p w:rsidR="00F13EF9" w:rsidRDefault="00297D86">
            <w:pPr>
              <w:tabs>
                <w:tab w:val="left" w:pos="1655"/>
              </w:tabs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5125" cy="1571625"/>
                  <wp:effectExtent l="0" t="0" r="0" b="9525"/>
                  <wp:docPr id="9" name="Рисунок 9" descr="C:\Users\комп\Desktop\image from Практика 9 класс-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C:\Users\комп\Desktop\image from Практика 9 класс-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tabs>
          <w:tab w:val="left" w:pos="1655"/>
        </w:tabs>
      </w:pPr>
    </w:p>
    <w:p w:rsidR="00F13EF9" w:rsidRDefault="00F13EF9">
      <w:pPr>
        <w:jc w:val="center"/>
        <w:rPr>
          <w:b/>
        </w:rPr>
        <w:sectPr w:rsidR="00F13EF9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3EF9" w:rsidRDefault="00297D86">
      <w:pPr>
        <w:jc w:val="center"/>
        <w:rPr>
          <w:b/>
        </w:rPr>
      </w:pPr>
      <w:r>
        <w:rPr>
          <w:b/>
        </w:rPr>
        <w:lastRenderedPageBreak/>
        <w:t xml:space="preserve">Карта </w:t>
      </w:r>
      <w:r>
        <w:rPr>
          <w:b/>
        </w:rPr>
        <w:t>пооперационного контроля</w:t>
      </w:r>
    </w:p>
    <w:p w:rsidR="00F13EF9" w:rsidRDefault="00297D86">
      <w:pPr>
        <w:tabs>
          <w:tab w:val="left" w:pos="1440"/>
        </w:tabs>
        <w:jc w:val="center"/>
        <w:rPr>
          <w:b/>
        </w:rPr>
      </w:pPr>
      <w:r>
        <w:rPr>
          <w:b/>
        </w:rPr>
        <w:t>к практическому заданию по моделированию юбки</w:t>
      </w:r>
    </w:p>
    <w:p w:rsidR="00F13EF9" w:rsidRDefault="00F13EF9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6182"/>
        <w:gridCol w:w="1582"/>
        <w:gridCol w:w="1351"/>
      </w:tblGrid>
      <w:tr w:rsidR="00F13EF9">
        <w:trPr>
          <w:jc w:val="center"/>
        </w:trPr>
        <w:tc>
          <w:tcPr>
            <w:tcW w:w="456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Максималь-ный</w:t>
            </w:r>
            <w:proofErr w:type="spellEnd"/>
            <w:proofErr w:type="gramEnd"/>
            <w:r>
              <w:rPr>
                <w:b/>
                <w:bCs/>
              </w:rPr>
              <w:t xml:space="preserve"> балл</w:t>
            </w:r>
          </w:p>
        </w:tc>
        <w:tc>
          <w:tcPr>
            <w:tcW w:w="1351" w:type="dxa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 w:rsidR="00F13EF9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новых линий фасона и надписей на чертеже основы юбки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pStyle w:val="ab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новой линии нижнего среза для удлинения юбки 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pStyle w:val="ab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линий расширения юбки по боковым срезам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pStyle w:val="ab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линии низа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pStyle w:val="ab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линий рельефов, работа с вытачками (надписи, обозначения)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pStyle w:val="ab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застежки-молнии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 xml:space="preserve">Построение дополнительных декоративных деталей 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пояса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паты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Изготовление выкроек юбки</w:t>
            </w:r>
          </w:p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Расположение выкроек на листе бумаги в соответствии с направлением долевой нити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Правильное моделирование деталей (соответствие модели и</w:t>
            </w:r>
            <w:r>
              <w:rPr>
                <w:rFonts w:eastAsia="Times New Roman"/>
                <w:lang w:eastAsia="ru-RU"/>
              </w:rPr>
              <w:t xml:space="preserve"> описанию, соблюдение масштаба и пропорций):</w:t>
            </w:r>
          </w:p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части переднего полотнища (1 балл)</w:t>
            </w:r>
          </w:p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части заднего полотнища (1 балл)</w:t>
            </w:r>
          </w:p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пояс (0,5 балла)</w:t>
            </w:r>
          </w:p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пата (0,5 балла)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названия деталей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количества деталей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Наличие контрольных </w:t>
            </w:r>
            <w:r>
              <w:rPr>
                <w:rFonts w:eastAsia="Times New Roman"/>
                <w:lang w:eastAsia="ru-RU"/>
              </w:rPr>
              <w:t>линий и меток:</w:t>
            </w:r>
          </w:p>
          <w:p w:rsidR="00F13EF9" w:rsidRDefault="00297D8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долевые нити на деталях, сгибы деталей,  линии середины (1 балл); </w:t>
            </w:r>
          </w:p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метка петли и метка пуговицы на пате, метка молнии (0,5 балла).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Указание величины припусков у каждого среза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297D86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13EF9">
        <w:trPr>
          <w:jc w:val="center"/>
        </w:trPr>
        <w:tc>
          <w:tcPr>
            <w:tcW w:w="456" w:type="dxa"/>
          </w:tcPr>
          <w:p w:rsidR="00F13EF9" w:rsidRDefault="00F13EF9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582" w:type="dxa"/>
            <w:shd w:val="clear" w:color="auto" w:fill="auto"/>
          </w:tcPr>
          <w:p w:rsidR="00F13EF9" w:rsidRDefault="00297D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 w:rsidR="00F13EF9" w:rsidRDefault="00F13EF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F13EF9" w:rsidRDefault="00F13EF9">
      <w:pPr>
        <w:tabs>
          <w:tab w:val="left" w:pos="1440"/>
        </w:tabs>
        <w:jc w:val="center"/>
        <w:rPr>
          <w:b/>
        </w:rPr>
      </w:pPr>
    </w:p>
    <w:sectPr w:rsidR="00F13EF9" w:rsidSect="00F1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EF9" w:rsidRDefault="00297D86">
      <w:r>
        <w:separator/>
      </w:r>
    </w:p>
  </w:endnote>
  <w:endnote w:type="continuationSeparator" w:id="1">
    <w:p w:rsidR="00F13EF9" w:rsidRDefault="00297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0928530"/>
      <w:docPartObj>
        <w:docPartGallery w:val="AutoText"/>
      </w:docPartObj>
    </w:sdtPr>
    <w:sdtEndPr>
      <w:rPr>
        <w:color w:val="808080" w:themeColor="background1" w:themeShade="80"/>
      </w:rPr>
    </w:sdtEndPr>
    <w:sdtContent>
      <w:p w:rsidR="00F13EF9" w:rsidRDefault="00F13EF9">
        <w:pPr>
          <w:pStyle w:val="a7"/>
          <w:jc w:val="right"/>
          <w:rPr>
            <w:color w:val="808080" w:themeColor="background1" w:themeShade="80"/>
          </w:rPr>
        </w:pPr>
        <w:r>
          <w:rPr>
            <w:color w:val="808080" w:themeColor="background1" w:themeShade="80"/>
          </w:rPr>
          <w:fldChar w:fldCharType="begin"/>
        </w:r>
        <w:r w:rsidR="00297D86">
          <w:rPr>
            <w:color w:val="808080" w:themeColor="background1" w:themeShade="80"/>
          </w:rPr>
          <w:instrText>PAGE   \* MERGEFORMAT</w:instrText>
        </w:r>
        <w:r>
          <w:rPr>
            <w:color w:val="808080" w:themeColor="background1" w:themeShade="80"/>
          </w:rPr>
          <w:fldChar w:fldCharType="separate"/>
        </w:r>
        <w:r w:rsidR="00297D86">
          <w:rPr>
            <w:noProof/>
            <w:color w:val="808080" w:themeColor="background1" w:themeShade="80"/>
          </w:rPr>
          <w:t>5</w:t>
        </w:r>
        <w:r>
          <w:rPr>
            <w:color w:val="808080" w:themeColor="background1" w:themeShade="80"/>
          </w:rPr>
          <w:fldChar w:fldCharType="end"/>
        </w:r>
      </w:p>
    </w:sdtContent>
  </w:sdt>
  <w:p w:rsidR="00F13EF9" w:rsidRDefault="00F13E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EF9" w:rsidRDefault="00297D86">
      <w:r>
        <w:separator/>
      </w:r>
    </w:p>
  </w:footnote>
  <w:footnote w:type="continuationSeparator" w:id="1">
    <w:p w:rsidR="00F13EF9" w:rsidRDefault="00297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485"/>
    <w:rsid w:val="00002734"/>
    <w:rsid w:val="00042327"/>
    <w:rsid w:val="00081604"/>
    <w:rsid w:val="000E739D"/>
    <w:rsid w:val="0018522B"/>
    <w:rsid w:val="001955F2"/>
    <w:rsid w:val="00205EA9"/>
    <w:rsid w:val="00207E79"/>
    <w:rsid w:val="00231F48"/>
    <w:rsid w:val="002644CD"/>
    <w:rsid w:val="00281C27"/>
    <w:rsid w:val="00297D86"/>
    <w:rsid w:val="003D2027"/>
    <w:rsid w:val="00415F1C"/>
    <w:rsid w:val="00477FDF"/>
    <w:rsid w:val="00495CF3"/>
    <w:rsid w:val="00507207"/>
    <w:rsid w:val="005346DC"/>
    <w:rsid w:val="00553B20"/>
    <w:rsid w:val="0056732B"/>
    <w:rsid w:val="00573327"/>
    <w:rsid w:val="00582028"/>
    <w:rsid w:val="005B2F07"/>
    <w:rsid w:val="005F41D7"/>
    <w:rsid w:val="00644396"/>
    <w:rsid w:val="00711236"/>
    <w:rsid w:val="00747855"/>
    <w:rsid w:val="0078130A"/>
    <w:rsid w:val="007D5A8A"/>
    <w:rsid w:val="00855C22"/>
    <w:rsid w:val="008641AA"/>
    <w:rsid w:val="008C4804"/>
    <w:rsid w:val="00966C7A"/>
    <w:rsid w:val="00A45D5A"/>
    <w:rsid w:val="00A97C27"/>
    <w:rsid w:val="00C643CD"/>
    <w:rsid w:val="00C85984"/>
    <w:rsid w:val="00CC07B5"/>
    <w:rsid w:val="00CF4EBD"/>
    <w:rsid w:val="00D0244F"/>
    <w:rsid w:val="00D472FA"/>
    <w:rsid w:val="00D61C74"/>
    <w:rsid w:val="00D63403"/>
    <w:rsid w:val="00D94485"/>
    <w:rsid w:val="00F13EF9"/>
    <w:rsid w:val="00FA007D"/>
    <w:rsid w:val="00FE3D8E"/>
    <w:rsid w:val="7CD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0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F9"/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E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F13EF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rsid w:val="00F13EF9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F13EF9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a">
    <w:name w:val="Table Grid"/>
    <w:basedOn w:val="a1"/>
    <w:rsid w:val="00F13EF9"/>
    <w:rPr>
      <w:rFonts w:ascii="Times New Roman" w:eastAsia="MS Mincho" w:hAnsi="Times New Roman" w:cs="Times New Roman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13EF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F13EF9"/>
    <w:rPr>
      <w:rFonts w:ascii="Tahoma" w:eastAsia="MS Mincho" w:hAnsi="Tahoma" w:cs="Tahoma"/>
      <w:sz w:val="16"/>
      <w:szCs w:val="16"/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F13EF9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F13EF9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17AF8-1146-43A0-AF93-2484F76C5F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550</Words>
  <Characters>3136</Characters>
  <Application>Microsoft Office Word</Application>
  <DocSecurity>0</DocSecurity>
  <Lines>26</Lines>
  <Paragraphs>7</Paragraphs>
  <ScaleCrop>false</ScaleCrop>
  <Company>Grizli777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5</cp:revision>
  <dcterms:created xsi:type="dcterms:W3CDTF">2022-11-30T21:32:00Z</dcterms:created>
  <dcterms:modified xsi:type="dcterms:W3CDTF">2022-12-18T17:52:00Z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03531F354D5D47F8A6E25EF17609CB0F</vt:lpwstr>
  </property>
</Properties>
</file>